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19232" w14:textId="0348F6B7" w:rsidR="001B681F" w:rsidRDefault="001B681F" w:rsidP="001B681F">
      <w:pPr>
        <w:pStyle w:val="Header"/>
        <w:rPr>
          <w:b/>
        </w:rPr>
      </w:pPr>
      <w:r w:rsidRPr="001B681F">
        <w:rPr>
          <w:b/>
        </w:rPr>
        <w:t>Privileged and confidential</w:t>
      </w:r>
    </w:p>
    <w:p w14:paraId="212D7DE2" w14:textId="77777777" w:rsidR="001B681F" w:rsidRPr="001B681F" w:rsidRDefault="001B681F" w:rsidP="001B681F">
      <w:pPr>
        <w:pStyle w:val="Header"/>
        <w:rPr>
          <w:b/>
        </w:rPr>
      </w:pPr>
      <w:bookmarkStart w:id="0" w:name="_GoBack"/>
      <w:bookmarkEnd w:id="0"/>
    </w:p>
    <w:p w14:paraId="1CA7A87B" w14:textId="2BB029E4" w:rsidR="00100E5E" w:rsidRPr="004D128C" w:rsidRDefault="004D128C" w:rsidP="00B0367B">
      <w:r w:rsidRPr="004D128C">
        <w:t>T</w:t>
      </w:r>
      <w:r w:rsidR="00100E5E" w:rsidRPr="004D128C">
        <w:t>his document is designed to assist both the client and counsel in keeping track of key events in the conduct of litigation.  It is not applicable where the brief to counsel is solely concerned with seeking advice and/or where no proceedings have been commenced.</w:t>
      </w:r>
    </w:p>
    <w:p w14:paraId="66F738EB" w14:textId="77777777" w:rsidR="00B0367B" w:rsidRPr="000A688C" w:rsidRDefault="00B0367B" w:rsidP="00B0367B">
      <w:pPr>
        <w:rPr>
          <w:b/>
          <w:u w:val="single"/>
        </w:rPr>
      </w:pPr>
      <w:r w:rsidRPr="000A688C">
        <w:rPr>
          <w:b/>
          <w:u w:val="single"/>
        </w:rPr>
        <w:t>Court Chronology of Events</w:t>
      </w:r>
      <w:r w:rsidRPr="000A688C">
        <w:rPr>
          <w:rStyle w:val="FootnoteReference"/>
          <w:b/>
          <w:u w:val="single"/>
        </w:rPr>
        <w:footnoteReference w:id="1"/>
      </w:r>
    </w:p>
    <w:p w14:paraId="354F7F17" w14:textId="77777777" w:rsidR="009A10B0" w:rsidRPr="009A10B0" w:rsidRDefault="009A10B0" w:rsidP="00B0367B">
      <w:r>
        <w:t>Date</w:t>
      </w:r>
      <w:r>
        <w:rPr>
          <w:rStyle w:val="FootnoteReference"/>
        </w:rPr>
        <w:footnoteReference w:id="2"/>
      </w:r>
      <w:r>
        <w:t>:</w:t>
      </w:r>
    </w:p>
    <w:tbl>
      <w:tblPr>
        <w:tblStyle w:val="TableGrid"/>
        <w:tblW w:w="0" w:type="auto"/>
        <w:tblLook w:val="04A0" w:firstRow="1" w:lastRow="0" w:firstColumn="1" w:lastColumn="0" w:noHBand="0" w:noVBand="1"/>
      </w:tblPr>
      <w:tblGrid>
        <w:gridCol w:w="1838"/>
        <w:gridCol w:w="2941"/>
        <w:gridCol w:w="1737"/>
        <w:gridCol w:w="1422"/>
        <w:gridCol w:w="1078"/>
      </w:tblGrid>
      <w:tr w:rsidR="00B0367B" w:rsidRPr="0029118A" w14:paraId="7ACC3B90" w14:textId="77777777" w:rsidTr="000A688C">
        <w:tc>
          <w:tcPr>
            <w:tcW w:w="1838" w:type="dxa"/>
            <w:shd w:val="clear" w:color="auto" w:fill="BDD6EE" w:themeFill="accent1" w:themeFillTint="66"/>
          </w:tcPr>
          <w:p w14:paraId="45CB6887" w14:textId="77777777" w:rsidR="00B0367B" w:rsidRPr="0029118A" w:rsidRDefault="00B0367B" w:rsidP="00100E5E">
            <w:pPr>
              <w:rPr>
                <w:b/>
              </w:rPr>
            </w:pPr>
            <w:r w:rsidRPr="0029118A">
              <w:rPr>
                <w:b/>
              </w:rPr>
              <w:t>Date</w:t>
            </w:r>
            <w:r>
              <w:rPr>
                <w:rStyle w:val="FootnoteReference"/>
                <w:b/>
              </w:rPr>
              <w:footnoteReference w:id="3"/>
            </w:r>
          </w:p>
        </w:tc>
        <w:tc>
          <w:tcPr>
            <w:tcW w:w="2941" w:type="dxa"/>
            <w:shd w:val="clear" w:color="auto" w:fill="BDD6EE" w:themeFill="accent1" w:themeFillTint="66"/>
          </w:tcPr>
          <w:p w14:paraId="2775CE59" w14:textId="77777777" w:rsidR="00B0367B" w:rsidRPr="0029118A" w:rsidRDefault="00B0367B" w:rsidP="00100E5E">
            <w:pPr>
              <w:rPr>
                <w:b/>
              </w:rPr>
            </w:pPr>
            <w:r w:rsidRPr="0029118A">
              <w:rPr>
                <w:b/>
              </w:rPr>
              <w:t>Event</w:t>
            </w:r>
            <w:r>
              <w:rPr>
                <w:rStyle w:val="FootnoteReference"/>
                <w:b/>
              </w:rPr>
              <w:footnoteReference w:id="4"/>
            </w:r>
          </w:p>
        </w:tc>
        <w:tc>
          <w:tcPr>
            <w:tcW w:w="1737" w:type="dxa"/>
            <w:shd w:val="clear" w:color="auto" w:fill="BDD6EE" w:themeFill="accent1" w:themeFillTint="66"/>
          </w:tcPr>
          <w:p w14:paraId="6D79F4DC" w14:textId="77777777" w:rsidR="00B0367B" w:rsidRPr="0029118A" w:rsidRDefault="00B0367B" w:rsidP="00100E5E">
            <w:pPr>
              <w:rPr>
                <w:b/>
              </w:rPr>
            </w:pPr>
            <w:r w:rsidRPr="0029118A">
              <w:rPr>
                <w:b/>
              </w:rPr>
              <w:t>Document Reference</w:t>
            </w:r>
            <w:r>
              <w:rPr>
                <w:rStyle w:val="FootnoteReference"/>
                <w:b/>
              </w:rPr>
              <w:footnoteReference w:id="5"/>
            </w:r>
          </w:p>
        </w:tc>
        <w:tc>
          <w:tcPr>
            <w:tcW w:w="1422" w:type="dxa"/>
            <w:shd w:val="clear" w:color="auto" w:fill="DEEAF6" w:themeFill="accent1" w:themeFillTint="33"/>
          </w:tcPr>
          <w:p w14:paraId="7AB39587" w14:textId="77777777" w:rsidR="00B0367B" w:rsidRPr="0029118A" w:rsidRDefault="00B0367B" w:rsidP="00100E5E">
            <w:pPr>
              <w:rPr>
                <w:b/>
              </w:rPr>
            </w:pPr>
            <w:r w:rsidRPr="0029118A">
              <w:rPr>
                <w:b/>
              </w:rPr>
              <w:t>Comment</w:t>
            </w:r>
            <w:r>
              <w:rPr>
                <w:rStyle w:val="FootnoteReference"/>
                <w:b/>
              </w:rPr>
              <w:footnoteReference w:id="6"/>
            </w:r>
          </w:p>
        </w:tc>
        <w:tc>
          <w:tcPr>
            <w:tcW w:w="1078" w:type="dxa"/>
            <w:shd w:val="clear" w:color="auto" w:fill="DEEAF6" w:themeFill="accent1" w:themeFillTint="33"/>
          </w:tcPr>
          <w:p w14:paraId="567C54C0" w14:textId="77777777" w:rsidR="00B0367B" w:rsidRPr="0029118A" w:rsidRDefault="00B0367B" w:rsidP="00100E5E">
            <w:pPr>
              <w:rPr>
                <w:b/>
              </w:rPr>
            </w:pPr>
            <w:r w:rsidRPr="0029118A">
              <w:rPr>
                <w:b/>
              </w:rPr>
              <w:t>Page in Brief</w:t>
            </w:r>
            <w:r>
              <w:rPr>
                <w:rStyle w:val="FootnoteReference"/>
                <w:b/>
              </w:rPr>
              <w:footnoteReference w:id="7"/>
            </w:r>
          </w:p>
        </w:tc>
      </w:tr>
      <w:tr w:rsidR="00B0367B" w14:paraId="3F521228" w14:textId="77777777" w:rsidTr="000A688C">
        <w:tc>
          <w:tcPr>
            <w:tcW w:w="1838" w:type="dxa"/>
          </w:tcPr>
          <w:p w14:paraId="08160026" w14:textId="77777777" w:rsidR="00B0367B" w:rsidRDefault="00B0367B" w:rsidP="00B0367B">
            <w:r>
              <w:t>1 October 2018</w:t>
            </w:r>
          </w:p>
        </w:tc>
        <w:tc>
          <w:tcPr>
            <w:tcW w:w="2941" w:type="dxa"/>
          </w:tcPr>
          <w:p w14:paraId="4F105698" w14:textId="77777777" w:rsidR="00B0367B" w:rsidRDefault="00B0367B" w:rsidP="00100E5E">
            <w:r>
              <w:t xml:space="preserve">Statement of claim filed in the Supreme Court of NSW by ABC Limited claiming $1.1M in damages, plus interest and costs against Defendant Pty Limited. </w:t>
            </w:r>
          </w:p>
        </w:tc>
        <w:tc>
          <w:tcPr>
            <w:tcW w:w="1737" w:type="dxa"/>
          </w:tcPr>
          <w:p w14:paraId="40D6E62D" w14:textId="77777777" w:rsidR="00B0367B" w:rsidRDefault="00B0367B" w:rsidP="00100E5E">
            <w:r>
              <w:t>Statement of Claim</w:t>
            </w:r>
          </w:p>
        </w:tc>
        <w:tc>
          <w:tcPr>
            <w:tcW w:w="1422" w:type="dxa"/>
            <w:shd w:val="clear" w:color="auto" w:fill="DEEAF6" w:themeFill="accent1" w:themeFillTint="33"/>
          </w:tcPr>
          <w:p w14:paraId="0F4927D7" w14:textId="77777777" w:rsidR="00B0367B" w:rsidRDefault="00B0367B" w:rsidP="00100E5E"/>
        </w:tc>
        <w:tc>
          <w:tcPr>
            <w:tcW w:w="1078" w:type="dxa"/>
            <w:shd w:val="clear" w:color="auto" w:fill="DEEAF6" w:themeFill="accent1" w:themeFillTint="33"/>
          </w:tcPr>
          <w:p w14:paraId="048A0E45" w14:textId="77777777" w:rsidR="00B0367B" w:rsidRDefault="00B0367B" w:rsidP="00100E5E"/>
        </w:tc>
      </w:tr>
      <w:tr w:rsidR="00B0367B" w14:paraId="71F00829" w14:textId="77777777" w:rsidTr="000A688C">
        <w:tc>
          <w:tcPr>
            <w:tcW w:w="1838" w:type="dxa"/>
          </w:tcPr>
          <w:p w14:paraId="4A8F5F00" w14:textId="77777777" w:rsidR="00B0367B" w:rsidRDefault="00B0367B" w:rsidP="00B0367B">
            <w:r>
              <w:t>5 October 2018</w:t>
            </w:r>
          </w:p>
        </w:tc>
        <w:tc>
          <w:tcPr>
            <w:tcW w:w="2941" w:type="dxa"/>
          </w:tcPr>
          <w:p w14:paraId="793C4E00" w14:textId="77777777" w:rsidR="00B0367B" w:rsidRDefault="00B0367B" w:rsidP="00100E5E">
            <w:r>
              <w:t>Statement of claim served.</w:t>
            </w:r>
          </w:p>
        </w:tc>
        <w:tc>
          <w:tcPr>
            <w:tcW w:w="1737" w:type="dxa"/>
          </w:tcPr>
          <w:p w14:paraId="19894F63" w14:textId="07FF9D56" w:rsidR="00B0367B" w:rsidRDefault="00B0367B" w:rsidP="00F24912">
            <w:r>
              <w:t xml:space="preserve">Letter ABC lawyers to </w:t>
            </w:r>
            <w:r w:rsidR="00FA6640">
              <w:t xml:space="preserve">Defendant Pty Ltd </w:t>
            </w:r>
            <w:r>
              <w:t>dated 5 October 2018</w:t>
            </w:r>
          </w:p>
        </w:tc>
        <w:tc>
          <w:tcPr>
            <w:tcW w:w="1422" w:type="dxa"/>
            <w:shd w:val="clear" w:color="auto" w:fill="DEEAF6" w:themeFill="accent1" w:themeFillTint="33"/>
          </w:tcPr>
          <w:p w14:paraId="43B74655" w14:textId="77777777" w:rsidR="00B0367B" w:rsidRDefault="00B0367B" w:rsidP="00100E5E">
            <w:r>
              <w:t>Statement of Claim was not served personally.</w:t>
            </w:r>
          </w:p>
        </w:tc>
        <w:tc>
          <w:tcPr>
            <w:tcW w:w="1078" w:type="dxa"/>
            <w:shd w:val="clear" w:color="auto" w:fill="DEEAF6" w:themeFill="accent1" w:themeFillTint="33"/>
          </w:tcPr>
          <w:p w14:paraId="6911FBA6" w14:textId="77777777" w:rsidR="00B0367B" w:rsidRDefault="00B0367B" w:rsidP="00100E5E"/>
        </w:tc>
      </w:tr>
      <w:tr w:rsidR="00B0367B" w14:paraId="7F00CB9A" w14:textId="77777777" w:rsidTr="000A688C">
        <w:tc>
          <w:tcPr>
            <w:tcW w:w="1838" w:type="dxa"/>
          </w:tcPr>
          <w:p w14:paraId="20760C93" w14:textId="77777777" w:rsidR="00B0367B" w:rsidRDefault="00B0367B" w:rsidP="00100E5E">
            <w:r>
              <w:t>12 October 2018</w:t>
            </w:r>
          </w:p>
        </w:tc>
        <w:tc>
          <w:tcPr>
            <w:tcW w:w="2941" w:type="dxa"/>
          </w:tcPr>
          <w:p w14:paraId="6BCD2AA8" w14:textId="77777777" w:rsidR="00B0367B" w:rsidRDefault="00B0367B" w:rsidP="00B0367B">
            <w:r>
              <w:t>Directions in Supreme Court of NSW before Registrar Smith.</w:t>
            </w:r>
          </w:p>
          <w:p w14:paraId="38EA6545" w14:textId="77777777" w:rsidR="00B0367B" w:rsidRDefault="00B0367B" w:rsidP="00B0367B">
            <w:r>
              <w:t>Order made:</w:t>
            </w:r>
          </w:p>
          <w:p w14:paraId="133BD3D2" w14:textId="77777777" w:rsidR="00B0367B" w:rsidRDefault="00B0367B" w:rsidP="00B0367B">
            <w:r>
              <w:t>[</w:t>
            </w:r>
            <w:r w:rsidRPr="000A688C">
              <w:rPr>
                <w:shd w:val="clear" w:color="auto" w:fill="DEEAF6" w:themeFill="accent1" w:themeFillTint="33"/>
              </w:rPr>
              <w:t>Set out orders</w:t>
            </w:r>
            <w:r>
              <w:t>]</w:t>
            </w:r>
          </w:p>
        </w:tc>
        <w:tc>
          <w:tcPr>
            <w:tcW w:w="1737" w:type="dxa"/>
          </w:tcPr>
          <w:p w14:paraId="7939EB43" w14:textId="77777777" w:rsidR="00B0367B" w:rsidRDefault="00B0367B" w:rsidP="00100E5E">
            <w:r>
              <w:t>Order</w:t>
            </w:r>
          </w:p>
        </w:tc>
        <w:tc>
          <w:tcPr>
            <w:tcW w:w="1422" w:type="dxa"/>
            <w:shd w:val="clear" w:color="auto" w:fill="DEEAF6" w:themeFill="accent1" w:themeFillTint="33"/>
          </w:tcPr>
          <w:p w14:paraId="3E037096" w14:textId="77777777" w:rsidR="00B0367B" w:rsidRDefault="00B0367B" w:rsidP="00100E5E"/>
        </w:tc>
        <w:tc>
          <w:tcPr>
            <w:tcW w:w="1078" w:type="dxa"/>
            <w:shd w:val="clear" w:color="auto" w:fill="DEEAF6" w:themeFill="accent1" w:themeFillTint="33"/>
          </w:tcPr>
          <w:p w14:paraId="2502FF17" w14:textId="77777777" w:rsidR="00B0367B" w:rsidRDefault="00B0367B" w:rsidP="00100E5E"/>
        </w:tc>
      </w:tr>
      <w:tr w:rsidR="00B0367B" w14:paraId="19603201" w14:textId="77777777" w:rsidTr="000A688C">
        <w:tc>
          <w:tcPr>
            <w:tcW w:w="1838" w:type="dxa"/>
          </w:tcPr>
          <w:p w14:paraId="5C8FC044" w14:textId="77777777" w:rsidR="00B0367B" w:rsidRDefault="00B0367B" w:rsidP="00100E5E">
            <w:r>
              <w:t>25 October 2018</w:t>
            </w:r>
          </w:p>
        </w:tc>
        <w:tc>
          <w:tcPr>
            <w:tcW w:w="2941" w:type="dxa"/>
          </w:tcPr>
          <w:p w14:paraId="11CFCB25" w14:textId="77777777" w:rsidR="00B0367B" w:rsidRDefault="00B0367B" w:rsidP="00100E5E">
            <w:r>
              <w:t>Defence of Defendant Pty Ltd filed and served.</w:t>
            </w:r>
          </w:p>
        </w:tc>
        <w:tc>
          <w:tcPr>
            <w:tcW w:w="1737" w:type="dxa"/>
          </w:tcPr>
          <w:p w14:paraId="6BB10722" w14:textId="77777777" w:rsidR="00B0367B" w:rsidRDefault="00B0367B" w:rsidP="00100E5E">
            <w:r>
              <w:t>Defence</w:t>
            </w:r>
          </w:p>
        </w:tc>
        <w:tc>
          <w:tcPr>
            <w:tcW w:w="1422" w:type="dxa"/>
            <w:shd w:val="clear" w:color="auto" w:fill="DEEAF6" w:themeFill="accent1" w:themeFillTint="33"/>
          </w:tcPr>
          <w:p w14:paraId="016B8224" w14:textId="77777777" w:rsidR="00B0367B" w:rsidRDefault="00B0367B" w:rsidP="00100E5E"/>
        </w:tc>
        <w:tc>
          <w:tcPr>
            <w:tcW w:w="1078" w:type="dxa"/>
            <w:shd w:val="clear" w:color="auto" w:fill="DEEAF6" w:themeFill="accent1" w:themeFillTint="33"/>
          </w:tcPr>
          <w:p w14:paraId="146C4A04" w14:textId="77777777" w:rsidR="00B0367B" w:rsidRDefault="00B0367B" w:rsidP="00100E5E"/>
        </w:tc>
      </w:tr>
      <w:tr w:rsidR="00B0367B" w14:paraId="75A451F7" w14:textId="77777777" w:rsidTr="000A688C">
        <w:tc>
          <w:tcPr>
            <w:tcW w:w="1838" w:type="dxa"/>
          </w:tcPr>
          <w:p w14:paraId="1A6B1856" w14:textId="77777777" w:rsidR="00B0367B" w:rsidRDefault="00B0367B" w:rsidP="00100E5E"/>
        </w:tc>
        <w:tc>
          <w:tcPr>
            <w:tcW w:w="2941" w:type="dxa"/>
          </w:tcPr>
          <w:p w14:paraId="19914D69" w14:textId="77777777" w:rsidR="00B0367B" w:rsidRDefault="00B0367B" w:rsidP="00100E5E"/>
        </w:tc>
        <w:tc>
          <w:tcPr>
            <w:tcW w:w="1737" w:type="dxa"/>
          </w:tcPr>
          <w:p w14:paraId="76536CC7" w14:textId="77777777" w:rsidR="00B0367B" w:rsidRDefault="00B0367B" w:rsidP="00100E5E"/>
        </w:tc>
        <w:tc>
          <w:tcPr>
            <w:tcW w:w="1422" w:type="dxa"/>
            <w:shd w:val="clear" w:color="auto" w:fill="DEEAF6" w:themeFill="accent1" w:themeFillTint="33"/>
          </w:tcPr>
          <w:p w14:paraId="7980F641" w14:textId="77777777" w:rsidR="00B0367B" w:rsidRDefault="00B0367B" w:rsidP="00100E5E"/>
        </w:tc>
        <w:tc>
          <w:tcPr>
            <w:tcW w:w="1078" w:type="dxa"/>
            <w:shd w:val="clear" w:color="auto" w:fill="DEEAF6" w:themeFill="accent1" w:themeFillTint="33"/>
          </w:tcPr>
          <w:p w14:paraId="637409AE" w14:textId="77777777" w:rsidR="00B0367B" w:rsidRDefault="00B0367B" w:rsidP="00100E5E"/>
        </w:tc>
      </w:tr>
      <w:tr w:rsidR="00B0367B" w14:paraId="34D488A6" w14:textId="77777777" w:rsidTr="000A688C">
        <w:tc>
          <w:tcPr>
            <w:tcW w:w="1838" w:type="dxa"/>
          </w:tcPr>
          <w:p w14:paraId="73041083" w14:textId="77777777" w:rsidR="00B0367B" w:rsidRDefault="00B0367B" w:rsidP="00100E5E"/>
        </w:tc>
        <w:tc>
          <w:tcPr>
            <w:tcW w:w="2941" w:type="dxa"/>
          </w:tcPr>
          <w:p w14:paraId="7DFA65E0" w14:textId="77777777" w:rsidR="00B0367B" w:rsidRDefault="00B0367B" w:rsidP="00100E5E"/>
        </w:tc>
        <w:tc>
          <w:tcPr>
            <w:tcW w:w="1737" w:type="dxa"/>
          </w:tcPr>
          <w:p w14:paraId="0A233EFC" w14:textId="77777777" w:rsidR="00B0367B" w:rsidRDefault="00B0367B" w:rsidP="00100E5E"/>
        </w:tc>
        <w:tc>
          <w:tcPr>
            <w:tcW w:w="1422" w:type="dxa"/>
            <w:shd w:val="clear" w:color="auto" w:fill="DEEAF6" w:themeFill="accent1" w:themeFillTint="33"/>
          </w:tcPr>
          <w:p w14:paraId="0533FFB9" w14:textId="77777777" w:rsidR="00B0367B" w:rsidRDefault="00B0367B" w:rsidP="00100E5E"/>
        </w:tc>
        <w:tc>
          <w:tcPr>
            <w:tcW w:w="1078" w:type="dxa"/>
            <w:shd w:val="clear" w:color="auto" w:fill="DEEAF6" w:themeFill="accent1" w:themeFillTint="33"/>
          </w:tcPr>
          <w:p w14:paraId="36E61C32" w14:textId="77777777" w:rsidR="00B0367B" w:rsidRDefault="00B0367B" w:rsidP="00100E5E"/>
        </w:tc>
      </w:tr>
    </w:tbl>
    <w:p w14:paraId="6CF193E1" w14:textId="77777777" w:rsidR="00100E5E" w:rsidRDefault="00100E5E"/>
    <w:sectPr w:rsidR="00100E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91D94" w14:textId="77777777" w:rsidR="00946E68" w:rsidRDefault="00946E68" w:rsidP="00B0367B">
      <w:pPr>
        <w:spacing w:after="0" w:line="240" w:lineRule="auto"/>
      </w:pPr>
      <w:r>
        <w:separator/>
      </w:r>
    </w:p>
  </w:endnote>
  <w:endnote w:type="continuationSeparator" w:id="0">
    <w:p w14:paraId="4D646865" w14:textId="77777777" w:rsidR="00946E68" w:rsidRDefault="00946E6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15AE9" w14:textId="77777777" w:rsidR="001B681F" w:rsidRDefault="001B6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8578809"/>
      <w:docPartObj>
        <w:docPartGallery w:val="Page Numbers (Bottom of Page)"/>
        <w:docPartUnique/>
      </w:docPartObj>
    </w:sdtPr>
    <w:sdtEndPr>
      <w:rPr>
        <w:noProof/>
      </w:rPr>
    </w:sdtEndPr>
    <w:sdtContent>
      <w:p w14:paraId="201059DE" w14:textId="1045CC24" w:rsidR="002875AC" w:rsidRDefault="002875AC" w:rsidP="002875AC">
        <w:pPr>
          <w:pStyle w:val="Footer"/>
          <w:jc w:val="right"/>
          <w:rPr>
            <w:noProof/>
          </w:rPr>
        </w:pPr>
        <w:r>
          <w:fldChar w:fldCharType="begin"/>
        </w:r>
        <w:r>
          <w:instrText xml:space="preserve"> PAGE   \* MERGEFORMAT </w:instrText>
        </w:r>
        <w:r>
          <w:fldChar w:fldCharType="separate"/>
        </w:r>
        <w:r w:rsidR="00AA3F78">
          <w:rPr>
            <w:noProof/>
          </w:rPr>
          <w:t>1</w:t>
        </w:r>
        <w:r>
          <w:rPr>
            <w:noProof/>
          </w:rPr>
          <w:fldChar w:fldCharType="end"/>
        </w:r>
      </w:p>
      <w:p w14:paraId="21981C2B" w14:textId="77777777" w:rsidR="002875AC" w:rsidRDefault="002875AC" w:rsidP="002875AC">
        <w:pPr>
          <w:pStyle w:val="Footer"/>
          <w:jc w:val="right"/>
          <w:rPr>
            <w:noProof/>
            <w:color w:val="808080" w:themeColor="background1" w:themeShade="80"/>
            <w:sz w:val="20"/>
            <w:szCs w:val="20"/>
          </w:rPr>
        </w:pPr>
        <w:r>
          <w:rPr>
            <w:noProof/>
            <w:color w:val="808080" w:themeColor="background1" w:themeShade="80"/>
            <w:sz w:val="20"/>
            <w:szCs w:val="20"/>
          </w:rPr>
          <w:t xml:space="preserve">© New South Wales Bar Association </w:t>
        </w:r>
      </w:p>
      <w:p w14:paraId="637D5B79" w14:textId="77777777" w:rsidR="002875AC" w:rsidRDefault="002875AC" w:rsidP="002875AC">
        <w:pPr>
          <w:pStyle w:val="Footer"/>
          <w:jc w:val="right"/>
          <w:rPr>
            <w:noProof/>
            <w:color w:val="808080" w:themeColor="background1" w:themeShade="80"/>
            <w:sz w:val="20"/>
            <w:szCs w:val="20"/>
          </w:rPr>
        </w:pPr>
        <w:r>
          <w:rPr>
            <w:noProof/>
            <w:color w:val="808080" w:themeColor="background1" w:themeShade="80"/>
            <w:sz w:val="20"/>
            <w:szCs w:val="20"/>
          </w:rPr>
          <w:t>13 November 2018</w:t>
        </w:r>
      </w:p>
      <w:p w14:paraId="5B2B1BD7" w14:textId="3C00FFEB" w:rsidR="002875AC" w:rsidRDefault="002875AC" w:rsidP="002875AC">
        <w:pPr>
          <w:pStyle w:val="Footer"/>
          <w:jc w:val="right"/>
        </w:pPr>
        <w:r>
          <w:rPr>
            <w:noProof/>
            <w:color w:val="808080" w:themeColor="background1" w:themeShade="80"/>
            <w:sz w:val="20"/>
            <w:szCs w:val="20"/>
          </w:rPr>
          <w:t>findabarrister.com</w:t>
        </w:r>
      </w:p>
      <w:p w14:paraId="1D0A8587" w14:textId="1656EEB5" w:rsidR="002875AC" w:rsidRDefault="00946E68" w:rsidP="002875AC">
        <w:pPr>
          <w:pStyle w:val="Footer"/>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44763" w14:textId="77777777" w:rsidR="001B681F" w:rsidRDefault="001B6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60F85" w14:textId="77777777" w:rsidR="00946E68" w:rsidRDefault="00946E68" w:rsidP="00B0367B">
      <w:pPr>
        <w:spacing w:after="0" w:line="240" w:lineRule="auto"/>
      </w:pPr>
      <w:r>
        <w:separator/>
      </w:r>
    </w:p>
  </w:footnote>
  <w:footnote w:type="continuationSeparator" w:id="0">
    <w:p w14:paraId="34B0D468" w14:textId="77777777" w:rsidR="00946E68" w:rsidRDefault="00946E68" w:rsidP="00B0367B">
      <w:pPr>
        <w:spacing w:after="0" w:line="240" w:lineRule="auto"/>
      </w:pPr>
      <w:r>
        <w:continuationSeparator/>
      </w:r>
    </w:p>
  </w:footnote>
  <w:footnote w:id="1">
    <w:p w14:paraId="5C41F53A" w14:textId="77777777" w:rsidR="00AB5CD5" w:rsidRDefault="00AB5CD5">
      <w:pPr>
        <w:pStyle w:val="FootnoteText"/>
      </w:pPr>
      <w:r>
        <w:rPr>
          <w:rStyle w:val="FootnoteReference"/>
        </w:rPr>
        <w:footnoteRef/>
      </w:r>
      <w:r>
        <w:t xml:space="preserve"> A court chronology of events is a ‘live’ document and should be updated before and after all key steps in the proceedings including service or documents or a directions hearing. Keeping it up to date saves time and money and assists to quickly preparation letters, affidavits, prepare for directions hearings or interlocutory applications. </w:t>
      </w:r>
    </w:p>
  </w:footnote>
  <w:footnote w:id="2">
    <w:p w14:paraId="696994FA" w14:textId="77777777" w:rsidR="00AB5CD5" w:rsidRDefault="00AB5CD5">
      <w:pPr>
        <w:pStyle w:val="FootnoteText"/>
      </w:pPr>
      <w:r>
        <w:rPr>
          <w:rStyle w:val="FootnoteReference"/>
        </w:rPr>
        <w:footnoteRef/>
      </w:r>
      <w:r>
        <w:t xml:space="preserve"> Include the date that the chronology was last updated. </w:t>
      </w:r>
    </w:p>
  </w:footnote>
  <w:footnote w:id="3">
    <w:p w14:paraId="128522AD" w14:textId="77777777" w:rsidR="00AB5CD5" w:rsidRDefault="00AB5CD5" w:rsidP="00B0367B">
      <w:pPr>
        <w:pStyle w:val="FootnoteText"/>
      </w:pPr>
      <w:r>
        <w:rPr>
          <w:rStyle w:val="FootnoteReference"/>
        </w:rPr>
        <w:footnoteRef/>
      </w:r>
      <w:r>
        <w:t xml:space="preserve"> Date that legal proceedings were commenced.</w:t>
      </w:r>
    </w:p>
  </w:footnote>
  <w:footnote w:id="4">
    <w:p w14:paraId="188FF0E3" w14:textId="77777777" w:rsidR="00AB5CD5" w:rsidRDefault="00AB5CD5" w:rsidP="00B0367B">
      <w:pPr>
        <w:pStyle w:val="FootnoteText"/>
      </w:pPr>
      <w:r>
        <w:rPr>
          <w:rStyle w:val="FootnoteReference"/>
        </w:rPr>
        <w:footnoteRef/>
      </w:r>
      <w:r>
        <w:t xml:space="preserve"> Specify which court or tribunal proceedings were commenced in. Note the proceeding number. Note the nature of the causes of action. Note the sum claimed.  List all of the parties. If referring to a corporate entity - use the full legal entity name, ABN, ACN if available. If referring to people - include full name and date of birth. </w:t>
      </w:r>
    </w:p>
  </w:footnote>
  <w:footnote w:id="5">
    <w:p w14:paraId="6518E41E" w14:textId="77777777" w:rsidR="00AB5CD5" w:rsidRDefault="00AB5CD5" w:rsidP="00B0367B">
      <w:pPr>
        <w:pStyle w:val="FootnoteText"/>
      </w:pPr>
      <w:r>
        <w:rPr>
          <w:rStyle w:val="FootnoteReference"/>
        </w:rPr>
        <w:footnoteRef/>
      </w:r>
      <w:r>
        <w:t xml:space="preserve"> Identify the relevant court document eg statement of claim, originating application etc.   </w:t>
      </w:r>
    </w:p>
  </w:footnote>
  <w:footnote w:id="6">
    <w:p w14:paraId="06F440D2" w14:textId="77777777" w:rsidR="00AB5CD5" w:rsidRDefault="00AB5CD5" w:rsidP="00B0367B">
      <w:pPr>
        <w:pStyle w:val="FootnoteText"/>
      </w:pPr>
      <w:r>
        <w:rPr>
          <w:rStyle w:val="FootnoteReference"/>
        </w:rPr>
        <w:footnoteRef/>
      </w:r>
      <w:r>
        <w:t xml:space="preserve"> This column is optional, but can be useful for including a comment or drawing counsel’s attention to an issue.  </w:t>
      </w:r>
    </w:p>
  </w:footnote>
  <w:footnote w:id="7">
    <w:p w14:paraId="63677DAC" w14:textId="77777777" w:rsidR="00AB5CD5" w:rsidRDefault="00AB5CD5" w:rsidP="00B0367B">
      <w:pPr>
        <w:pStyle w:val="FootnoteText"/>
      </w:pPr>
      <w:r>
        <w:rPr>
          <w:rStyle w:val="FootnoteReference"/>
        </w:rPr>
        <w:footnoteRef/>
      </w:r>
      <w:r>
        <w:t xml:space="preserve"> This is optional, but it can be efficient to refer to the page in the brief where the document appears.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D9C13" w14:textId="157E97A4" w:rsidR="001B681F" w:rsidRDefault="00946E68">
    <w:pPr>
      <w:pStyle w:val="Header"/>
    </w:pPr>
    <w:r>
      <w:rPr>
        <w:noProof/>
      </w:rPr>
      <w:pict w14:anchorId="348C20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677668" o:spid="_x0000_s2051" type="#_x0000_t136" alt="" style="position:absolute;margin-left:0;margin-top:0;width:565.6pt;height:70.7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findabarrister.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8ABDF" w14:textId="2505B00D" w:rsidR="004D4485" w:rsidRDefault="00946E68">
    <w:pPr>
      <w:pStyle w:val="Header"/>
    </w:pPr>
    <w:r>
      <w:rPr>
        <w:noProof/>
      </w:rPr>
      <w:pict w14:anchorId="663FB1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677669" o:spid="_x0000_s2050" type="#_x0000_t136" alt="" style="position:absolute;margin-left:0;margin-top:0;width:565.6pt;height:70.7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findabarrister.com"/>
        </v:shape>
      </w:pict>
    </w:r>
    <w:r w:rsidR="004D4485">
      <w:rPr>
        <w:noProof/>
        <w:lang w:eastAsia="en-AU"/>
      </w:rPr>
      <w:drawing>
        <wp:inline distT="0" distB="0" distL="0" distR="0" wp14:anchorId="0B11CAEA" wp14:editId="44A21912">
          <wp:extent cx="2743200" cy="9211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SW Bar Association_horizontal lockup_PMS_1.eps"/>
                  <pic:cNvPicPr/>
                </pic:nvPicPr>
                <pic:blipFill>
                  <a:blip r:embed="rId1">
                    <a:extLst>
                      <a:ext uri="{28A0092B-C50C-407E-A947-70E740481C1C}">
                        <a14:useLocalDpi xmlns:a14="http://schemas.microsoft.com/office/drawing/2010/main" val="0"/>
                      </a:ext>
                    </a:extLst>
                  </a:blip>
                  <a:stretch>
                    <a:fillRect/>
                  </a:stretch>
                </pic:blipFill>
                <pic:spPr>
                  <a:xfrm>
                    <a:off x="0" y="0"/>
                    <a:ext cx="2743200" cy="921188"/>
                  </a:xfrm>
                  <a:prstGeom prst="rect">
                    <a:avLst/>
                  </a:prstGeom>
                </pic:spPr>
              </pic:pic>
            </a:graphicData>
          </a:graphic>
        </wp:inline>
      </w:drawing>
    </w:r>
  </w:p>
  <w:p w14:paraId="1540C7BB" w14:textId="77777777" w:rsidR="004D4485" w:rsidRDefault="004D4485">
    <w:pPr>
      <w:pStyle w:val="Header"/>
    </w:pPr>
  </w:p>
  <w:p w14:paraId="5EC4D665" w14:textId="77777777" w:rsidR="00AB5CD5" w:rsidRDefault="00AB5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0A53E" w14:textId="21BDD261" w:rsidR="001B681F" w:rsidRDefault="00946E68">
    <w:pPr>
      <w:pStyle w:val="Header"/>
    </w:pPr>
    <w:r>
      <w:rPr>
        <w:noProof/>
      </w:rPr>
      <w:pict w14:anchorId="0A3C9B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677667" o:spid="_x0000_s2049" type="#_x0000_t136" alt="" style="position:absolute;margin-left:0;margin-top:0;width:565.6pt;height:70.7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findabarrister.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67B"/>
    <w:rsid w:val="00000EA1"/>
    <w:rsid w:val="000A688C"/>
    <w:rsid w:val="00100E5E"/>
    <w:rsid w:val="00132C72"/>
    <w:rsid w:val="001B681F"/>
    <w:rsid w:val="002875AC"/>
    <w:rsid w:val="002A4A0E"/>
    <w:rsid w:val="003D36F9"/>
    <w:rsid w:val="00476CE2"/>
    <w:rsid w:val="004D128C"/>
    <w:rsid w:val="004D4485"/>
    <w:rsid w:val="005067EA"/>
    <w:rsid w:val="00621AC8"/>
    <w:rsid w:val="00713363"/>
    <w:rsid w:val="00751272"/>
    <w:rsid w:val="007C5553"/>
    <w:rsid w:val="00942F16"/>
    <w:rsid w:val="00946E68"/>
    <w:rsid w:val="009A10B0"/>
    <w:rsid w:val="009C5C5C"/>
    <w:rsid w:val="00A260F5"/>
    <w:rsid w:val="00A86530"/>
    <w:rsid w:val="00AA3F78"/>
    <w:rsid w:val="00AB5CD5"/>
    <w:rsid w:val="00B0367B"/>
    <w:rsid w:val="00B14BFB"/>
    <w:rsid w:val="00C07E82"/>
    <w:rsid w:val="00DD57AB"/>
    <w:rsid w:val="00ED7DFF"/>
    <w:rsid w:val="00F24912"/>
    <w:rsid w:val="00F4489B"/>
    <w:rsid w:val="00FA664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A2E56E4"/>
  <w15:docId w15:val="{2196D88D-C194-4ADF-BD06-D0DA024D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36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036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0367B"/>
    <w:rPr>
      <w:sz w:val="20"/>
      <w:szCs w:val="20"/>
    </w:rPr>
  </w:style>
  <w:style w:type="character" w:styleId="FootnoteReference">
    <w:name w:val="footnote reference"/>
    <w:basedOn w:val="DefaultParagraphFont"/>
    <w:uiPriority w:val="99"/>
    <w:semiHidden/>
    <w:unhideWhenUsed/>
    <w:rsid w:val="00B0367B"/>
    <w:rPr>
      <w:vertAlign w:val="superscript"/>
    </w:rPr>
  </w:style>
  <w:style w:type="paragraph" w:styleId="Header">
    <w:name w:val="header"/>
    <w:basedOn w:val="Normal"/>
    <w:link w:val="HeaderChar"/>
    <w:uiPriority w:val="99"/>
    <w:unhideWhenUsed/>
    <w:rsid w:val="002A4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4A0E"/>
  </w:style>
  <w:style w:type="paragraph" w:styleId="Footer">
    <w:name w:val="footer"/>
    <w:basedOn w:val="Normal"/>
    <w:link w:val="FooterChar"/>
    <w:uiPriority w:val="99"/>
    <w:unhideWhenUsed/>
    <w:rsid w:val="002A4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4A0E"/>
  </w:style>
  <w:style w:type="paragraph" w:styleId="BalloonText">
    <w:name w:val="Balloon Text"/>
    <w:basedOn w:val="Normal"/>
    <w:link w:val="BalloonTextChar"/>
    <w:uiPriority w:val="99"/>
    <w:semiHidden/>
    <w:unhideWhenUsed/>
    <w:rsid w:val="00100E5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00E5E"/>
    <w:rPr>
      <w:rFonts w:ascii="Lucida Grande" w:hAnsi="Lucida Grande" w:cs="Lucida Grande"/>
      <w:sz w:val="18"/>
      <w:szCs w:val="18"/>
    </w:rPr>
  </w:style>
  <w:style w:type="character" w:styleId="CommentReference">
    <w:name w:val="annotation reference"/>
    <w:basedOn w:val="DefaultParagraphFont"/>
    <w:uiPriority w:val="99"/>
    <w:semiHidden/>
    <w:unhideWhenUsed/>
    <w:rsid w:val="00713363"/>
    <w:rPr>
      <w:sz w:val="18"/>
      <w:szCs w:val="18"/>
    </w:rPr>
  </w:style>
  <w:style w:type="paragraph" w:styleId="CommentText">
    <w:name w:val="annotation text"/>
    <w:basedOn w:val="Normal"/>
    <w:link w:val="CommentTextChar"/>
    <w:uiPriority w:val="99"/>
    <w:semiHidden/>
    <w:unhideWhenUsed/>
    <w:rsid w:val="00713363"/>
    <w:pPr>
      <w:spacing w:line="240" w:lineRule="auto"/>
    </w:pPr>
    <w:rPr>
      <w:sz w:val="24"/>
      <w:szCs w:val="24"/>
    </w:rPr>
  </w:style>
  <w:style w:type="character" w:customStyle="1" w:styleId="CommentTextChar">
    <w:name w:val="Comment Text Char"/>
    <w:basedOn w:val="DefaultParagraphFont"/>
    <w:link w:val="CommentText"/>
    <w:uiPriority w:val="99"/>
    <w:semiHidden/>
    <w:rsid w:val="00713363"/>
    <w:rPr>
      <w:sz w:val="24"/>
      <w:szCs w:val="24"/>
    </w:rPr>
  </w:style>
  <w:style w:type="paragraph" w:styleId="CommentSubject">
    <w:name w:val="annotation subject"/>
    <w:basedOn w:val="CommentText"/>
    <w:next w:val="CommentText"/>
    <w:link w:val="CommentSubjectChar"/>
    <w:uiPriority w:val="99"/>
    <w:semiHidden/>
    <w:unhideWhenUsed/>
    <w:rsid w:val="00713363"/>
    <w:rPr>
      <w:b/>
      <w:bCs/>
      <w:sz w:val="20"/>
      <w:szCs w:val="20"/>
    </w:rPr>
  </w:style>
  <w:style w:type="character" w:customStyle="1" w:styleId="CommentSubjectChar">
    <w:name w:val="Comment Subject Char"/>
    <w:basedOn w:val="CommentTextChar"/>
    <w:link w:val="CommentSubject"/>
    <w:uiPriority w:val="99"/>
    <w:semiHidden/>
    <w:rsid w:val="007133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418824">
      <w:bodyDiv w:val="1"/>
      <w:marLeft w:val="0"/>
      <w:marRight w:val="0"/>
      <w:marTop w:val="0"/>
      <w:marBottom w:val="0"/>
      <w:divBdr>
        <w:top w:val="none" w:sz="0" w:space="0" w:color="auto"/>
        <w:left w:val="none" w:sz="0" w:space="0" w:color="auto"/>
        <w:bottom w:val="none" w:sz="0" w:space="0" w:color="auto"/>
        <w:right w:val="none" w:sz="0" w:space="0" w:color="auto"/>
      </w:divBdr>
    </w:div>
    <w:div w:id="182658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1BFD7-8526-C943-9541-53D33B3B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787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O'Halloran</dc:creator>
  <cp:keywords/>
  <dc:description/>
  <cp:lastModifiedBy>Elizabeth Cheeseman</cp:lastModifiedBy>
  <cp:revision>2</cp:revision>
  <cp:lastPrinted>2018-11-02T03:47:00Z</cp:lastPrinted>
  <dcterms:created xsi:type="dcterms:W3CDTF">2018-12-04T05:10:00Z</dcterms:created>
  <dcterms:modified xsi:type="dcterms:W3CDTF">2018-12-04T05:10:00Z</dcterms:modified>
</cp:coreProperties>
</file>