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E71FAB" w14:textId="2A195B12" w:rsidR="0002768F" w:rsidRDefault="0002768F" w:rsidP="0002768F">
      <w:pPr>
        <w:pStyle w:val="Header"/>
        <w:rPr>
          <w:b/>
        </w:rPr>
      </w:pPr>
      <w:r w:rsidRPr="0002768F">
        <w:rPr>
          <w:b/>
        </w:rPr>
        <w:t>Privileged and confidential</w:t>
      </w:r>
    </w:p>
    <w:p w14:paraId="29C78D98" w14:textId="77777777" w:rsidR="00AE0545" w:rsidRPr="0002768F" w:rsidRDefault="00AE0545" w:rsidP="0002768F">
      <w:pPr>
        <w:pStyle w:val="Header"/>
        <w:rPr>
          <w:b/>
        </w:rPr>
      </w:pPr>
      <w:bookmarkStart w:id="0" w:name="_GoBack"/>
      <w:bookmarkEnd w:id="0"/>
    </w:p>
    <w:p w14:paraId="4E4F1B78" w14:textId="44AD8C2B" w:rsidR="009E6F38" w:rsidRPr="000D4323" w:rsidRDefault="009E6F38" w:rsidP="009E6F38">
      <w:r w:rsidRPr="000D4323">
        <w:t xml:space="preserve">This document is designed to assist both the client and counsel in identifying </w:t>
      </w:r>
      <w:r w:rsidR="00FD2F75" w:rsidRPr="000D4323">
        <w:t xml:space="preserve">key </w:t>
      </w:r>
      <w:r w:rsidRPr="000D4323">
        <w:t>factual events</w:t>
      </w:r>
      <w:r w:rsidR="00FD2F75" w:rsidRPr="000D4323">
        <w:t xml:space="preserve"> that have occurred and which are relevant to the brief to counsel</w:t>
      </w:r>
      <w:r w:rsidRPr="000D4323">
        <w:t>.</w:t>
      </w:r>
      <w:r w:rsidR="00622D73" w:rsidRPr="000D4323">
        <w:t xml:space="preserve">  Consideration should be </w:t>
      </w:r>
      <w:r w:rsidR="0099163E" w:rsidRPr="000D4323">
        <w:t>given to updating the document as additional key events come to light.</w:t>
      </w:r>
      <w:r w:rsidRPr="000D4323">
        <w:t xml:space="preserve">  </w:t>
      </w:r>
    </w:p>
    <w:p w14:paraId="4BDD97B2" w14:textId="77777777" w:rsidR="009E6F38" w:rsidRDefault="009E6F38">
      <w:pPr>
        <w:rPr>
          <w:b/>
          <w:u w:val="single"/>
        </w:rPr>
      </w:pPr>
    </w:p>
    <w:p w14:paraId="0F115DFC" w14:textId="77777777" w:rsidR="009E6F38" w:rsidRPr="00E270CC" w:rsidRDefault="0029118A">
      <w:pPr>
        <w:rPr>
          <w:b/>
          <w:u w:val="single"/>
        </w:rPr>
      </w:pPr>
      <w:r w:rsidRPr="00E270CC">
        <w:rPr>
          <w:b/>
          <w:u w:val="single"/>
        </w:rPr>
        <w:t>Factual Chronology of Events</w:t>
      </w:r>
    </w:p>
    <w:p w14:paraId="284F499D" w14:textId="1DEE4120" w:rsidR="000D2B52" w:rsidRPr="0029118A" w:rsidRDefault="000D2B52">
      <w:pPr>
        <w:rPr>
          <w:u w:val="single"/>
        </w:rPr>
      </w:pPr>
      <w:r>
        <w:rPr>
          <w:u w:val="single"/>
        </w:rPr>
        <w:t>Date: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2941"/>
        <w:gridCol w:w="1737"/>
        <w:gridCol w:w="1422"/>
        <w:gridCol w:w="1078"/>
      </w:tblGrid>
      <w:tr w:rsidR="0029118A" w:rsidRPr="0029118A" w14:paraId="15133C9B" w14:textId="77777777" w:rsidTr="00E270CC">
        <w:tc>
          <w:tcPr>
            <w:tcW w:w="1838" w:type="dxa"/>
            <w:shd w:val="clear" w:color="auto" w:fill="BDD6EE" w:themeFill="accent1" w:themeFillTint="66"/>
          </w:tcPr>
          <w:p w14:paraId="04C7E74D" w14:textId="77777777" w:rsidR="0029118A" w:rsidRPr="0029118A" w:rsidRDefault="0029118A">
            <w:pPr>
              <w:rPr>
                <w:b/>
              </w:rPr>
            </w:pPr>
            <w:r w:rsidRPr="0029118A">
              <w:rPr>
                <w:b/>
              </w:rPr>
              <w:t>Date</w:t>
            </w:r>
            <w:r>
              <w:rPr>
                <w:rStyle w:val="FootnoteReference"/>
                <w:b/>
              </w:rPr>
              <w:footnoteReference w:id="1"/>
            </w:r>
          </w:p>
        </w:tc>
        <w:tc>
          <w:tcPr>
            <w:tcW w:w="2941" w:type="dxa"/>
            <w:shd w:val="clear" w:color="auto" w:fill="BDD6EE" w:themeFill="accent1" w:themeFillTint="66"/>
          </w:tcPr>
          <w:p w14:paraId="04013198" w14:textId="77777777" w:rsidR="0029118A" w:rsidRPr="0029118A" w:rsidRDefault="0029118A">
            <w:pPr>
              <w:rPr>
                <w:b/>
              </w:rPr>
            </w:pPr>
            <w:r w:rsidRPr="0029118A">
              <w:rPr>
                <w:b/>
              </w:rPr>
              <w:t>Event</w:t>
            </w:r>
            <w:r>
              <w:rPr>
                <w:rStyle w:val="FootnoteReference"/>
                <w:b/>
              </w:rPr>
              <w:footnoteReference w:id="2"/>
            </w:r>
          </w:p>
        </w:tc>
        <w:tc>
          <w:tcPr>
            <w:tcW w:w="1737" w:type="dxa"/>
            <w:shd w:val="clear" w:color="auto" w:fill="BDD6EE" w:themeFill="accent1" w:themeFillTint="66"/>
          </w:tcPr>
          <w:p w14:paraId="3CD845AC" w14:textId="77777777" w:rsidR="0029118A" w:rsidRPr="0029118A" w:rsidRDefault="0029118A">
            <w:pPr>
              <w:rPr>
                <w:b/>
              </w:rPr>
            </w:pPr>
            <w:r w:rsidRPr="0029118A">
              <w:rPr>
                <w:b/>
              </w:rPr>
              <w:t>Document Reference</w:t>
            </w:r>
            <w:r>
              <w:rPr>
                <w:rStyle w:val="FootnoteReference"/>
                <w:b/>
              </w:rPr>
              <w:footnoteReference w:id="3"/>
            </w:r>
          </w:p>
        </w:tc>
        <w:tc>
          <w:tcPr>
            <w:tcW w:w="1422" w:type="dxa"/>
            <w:shd w:val="clear" w:color="auto" w:fill="DEEAF6" w:themeFill="accent1" w:themeFillTint="33"/>
          </w:tcPr>
          <w:p w14:paraId="4FF5ACD4" w14:textId="77777777" w:rsidR="0029118A" w:rsidRPr="0029118A" w:rsidRDefault="0029118A">
            <w:pPr>
              <w:rPr>
                <w:b/>
              </w:rPr>
            </w:pPr>
            <w:r w:rsidRPr="0029118A">
              <w:rPr>
                <w:b/>
              </w:rPr>
              <w:t>Comment</w:t>
            </w:r>
            <w:r>
              <w:rPr>
                <w:rStyle w:val="FootnoteReference"/>
                <w:b/>
              </w:rPr>
              <w:footnoteReference w:id="4"/>
            </w:r>
          </w:p>
        </w:tc>
        <w:tc>
          <w:tcPr>
            <w:tcW w:w="1078" w:type="dxa"/>
            <w:shd w:val="clear" w:color="auto" w:fill="DEEAF6" w:themeFill="accent1" w:themeFillTint="33"/>
          </w:tcPr>
          <w:p w14:paraId="1EF41696" w14:textId="77777777" w:rsidR="0029118A" w:rsidRPr="0029118A" w:rsidRDefault="0029118A">
            <w:pPr>
              <w:rPr>
                <w:b/>
              </w:rPr>
            </w:pPr>
            <w:r w:rsidRPr="0029118A">
              <w:rPr>
                <w:b/>
              </w:rPr>
              <w:t>Page in Brief</w:t>
            </w:r>
            <w:r>
              <w:rPr>
                <w:rStyle w:val="FootnoteReference"/>
                <w:b/>
              </w:rPr>
              <w:footnoteReference w:id="5"/>
            </w:r>
          </w:p>
        </w:tc>
      </w:tr>
      <w:tr w:rsidR="0029118A" w14:paraId="024555A1" w14:textId="77777777" w:rsidTr="00E270CC">
        <w:tc>
          <w:tcPr>
            <w:tcW w:w="1838" w:type="dxa"/>
          </w:tcPr>
          <w:p w14:paraId="1E08BE0F" w14:textId="77777777" w:rsidR="0029118A" w:rsidRDefault="0029118A"/>
        </w:tc>
        <w:tc>
          <w:tcPr>
            <w:tcW w:w="2941" w:type="dxa"/>
          </w:tcPr>
          <w:p w14:paraId="506FFE52" w14:textId="77777777" w:rsidR="0029118A" w:rsidRDefault="0029118A"/>
        </w:tc>
        <w:tc>
          <w:tcPr>
            <w:tcW w:w="1737" w:type="dxa"/>
          </w:tcPr>
          <w:p w14:paraId="737C6475" w14:textId="77777777" w:rsidR="0029118A" w:rsidRDefault="0029118A"/>
        </w:tc>
        <w:tc>
          <w:tcPr>
            <w:tcW w:w="1422" w:type="dxa"/>
            <w:shd w:val="clear" w:color="auto" w:fill="DEEAF6" w:themeFill="accent1" w:themeFillTint="33"/>
          </w:tcPr>
          <w:p w14:paraId="0626C016" w14:textId="77777777" w:rsidR="0029118A" w:rsidRDefault="0029118A"/>
        </w:tc>
        <w:tc>
          <w:tcPr>
            <w:tcW w:w="1078" w:type="dxa"/>
            <w:shd w:val="clear" w:color="auto" w:fill="DEEAF6" w:themeFill="accent1" w:themeFillTint="33"/>
          </w:tcPr>
          <w:p w14:paraId="17A3CEE8" w14:textId="77777777" w:rsidR="0029118A" w:rsidRDefault="0029118A"/>
        </w:tc>
      </w:tr>
      <w:tr w:rsidR="0029118A" w14:paraId="21963EA9" w14:textId="77777777" w:rsidTr="00E270CC">
        <w:tc>
          <w:tcPr>
            <w:tcW w:w="1838" w:type="dxa"/>
          </w:tcPr>
          <w:p w14:paraId="38F2AF92" w14:textId="77777777" w:rsidR="0029118A" w:rsidRDefault="0029118A" w:rsidP="0029118A">
            <w:r>
              <w:t>12 September 2018</w:t>
            </w:r>
          </w:p>
        </w:tc>
        <w:tc>
          <w:tcPr>
            <w:tcW w:w="2941" w:type="dxa"/>
          </w:tcPr>
          <w:p w14:paraId="514642B7" w14:textId="77777777" w:rsidR="0029118A" w:rsidRDefault="00F0288D" w:rsidP="00F0288D">
            <w:r>
              <w:t>At 11:30am Kelly Smith</w:t>
            </w:r>
            <w:r w:rsidR="009231FE">
              <w:t xml:space="preserve"> (DOB 2 August 1980)</w:t>
            </w:r>
            <w:r>
              <w:t xml:space="preserve"> slips and falls in Hyde Park. </w:t>
            </w:r>
          </w:p>
        </w:tc>
        <w:tc>
          <w:tcPr>
            <w:tcW w:w="1737" w:type="dxa"/>
          </w:tcPr>
          <w:p w14:paraId="0F7A4CB0" w14:textId="77777777" w:rsidR="0029118A" w:rsidRDefault="00F0288D">
            <w:r>
              <w:t>Nil</w:t>
            </w:r>
          </w:p>
        </w:tc>
        <w:tc>
          <w:tcPr>
            <w:tcW w:w="1422" w:type="dxa"/>
            <w:shd w:val="clear" w:color="auto" w:fill="DEEAF6" w:themeFill="accent1" w:themeFillTint="33"/>
          </w:tcPr>
          <w:p w14:paraId="61DCA61F" w14:textId="77777777" w:rsidR="0029118A" w:rsidRDefault="00E270CC" w:rsidP="0029118A">
            <w:r>
              <w:t>3 witnesses have provided statements.</w:t>
            </w:r>
          </w:p>
        </w:tc>
        <w:tc>
          <w:tcPr>
            <w:tcW w:w="1078" w:type="dxa"/>
            <w:shd w:val="clear" w:color="auto" w:fill="DEEAF6" w:themeFill="accent1" w:themeFillTint="33"/>
          </w:tcPr>
          <w:p w14:paraId="68DDD737" w14:textId="77777777" w:rsidR="0029118A" w:rsidRDefault="0029118A">
            <w:r>
              <w:t>2</w:t>
            </w:r>
          </w:p>
        </w:tc>
      </w:tr>
      <w:tr w:rsidR="0029118A" w14:paraId="32B13729" w14:textId="77777777" w:rsidTr="00E270CC">
        <w:tc>
          <w:tcPr>
            <w:tcW w:w="1838" w:type="dxa"/>
          </w:tcPr>
          <w:p w14:paraId="1BEE9F88" w14:textId="77777777" w:rsidR="0029118A" w:rsidRDefault="00F0288D">
            <w:r>
              <w:t>12 September 2018</w:t>
            </w:r>
          </w:p>
        </w:tc>
        <w:tc>
          <w:tcPr>
            <w:tcW w:w="2941" w:type="dxa"/>
          </w:tcPr>
          <w:p w14:paraId="2C6AD87C" w14:textId="77777777" w:rsidR="0029118A" w:rsidRDefault="00F0288D" w:rsidP="00F0288D">
            <w:r>
              <w:t>At 11:41am, paramedics attend and she is taken to Sydney Hospital, Macquarie Street, Sydney.</w:t>
            </w:r>
          </w:p>
        </w:tc>
        <w:tc>
          <w:tcPr>
            <w:tcW w:w="1737" w:type="dxa"/>
          </w:tcPr>
          <w:p w14:paraId="19FFC9BE" w14:textId="77777777" w:rsidR="0029118A" w:rsidRDefault="009231FE" w:rsidP="0029118A">
            <w:r>
              <w:t xml:space="preserve">NSW </w:t>
            </w:r>
            <w:r w:rsidR="00F0288D">
              <w:t>Ambulance records</w:t>
            </w:r>
          </w:p>
        </w:tc>
        <w:tc>
          <w:tcPr>
            <w:tcW w:w="1422" w:type="dxa"/>
            <w:shd w:val="clear" w:color="auto" w:fill="DEEAF6" w:themeFill="accent1" w:themeFillTint="33"/>
          </w:tcPr>
          <w:p w14:paraId="04EB3673" w14:textId="77777777" w:rsidR="0029118A" w:rsidRDefault="0029118A"/>
        </w:tc>
        <w:tc>
          <w:tcPr>
            <w:tcW w:w="1078" w:type="dxa"/>
            <w:shd w:val="clear" w:color="auto" w:fill="DEEAF6" w:themeFill="accent1" w:themeFillTint="33"/>
          </w:tcPr>
          <w:p w14:paraId="4E9484A3" w14:textId="77777777" w:rsidR="0029118A" w:rsidRDefault="00F0288D">
            <w:r>
              <w:t>3</w:t>
            </w:r>
          </w:p>
        </w:tc>
      </w:tr>
      <w:tr w:rsidR="0029118A" w14:paraId="752F0473" w14:textId="77777777" w:rsidTr="00E270CC">
        <w:tc>
          <w:tcPr>
            <w:tcW w:w="1838" w:type="dxa"/>
          </w:tcPr>
          <w:p w14:paraId="539DE07B" w14:textId="77777777" w:rsidR="0029118A" w:rsidRDefault="009231FE">
            <w:r>
              <w:t>20 September 2018</w:t>
            </w:r>
          </w:p>
        </w:tc>
        <w:tc>
          <w:tcPr>
            <w:tcW w:w="2941" w:type="dxa"/>
          </w:tcPr>
          <w:p w14:paraId="6AB9BE8D" w14:textId="77777777" w:rsidR="0029118A" w:rsidRDefault="009231FE">
            <w:r>
              <w:t>ABC lawyers send letter of demand to Sydney City Council alleging negligence.</w:t>
            </w:r>
          </w:p>
        </w:tc>
        <w:tc>
          <w:tcPr>
            <w:tcW w:w="1737" w:type="dxa"/>
          </w:tcPr>
          <w:p w14:paraId="72D00854" w14:textId="77777777" w:rsidR="0029118A" w:rsidRDefault="009231FE">
            <w:r>
              <w:t>Letter of demand from ABC lawyers to Sydney City Council</w:t>
            </w:r>
          </w:p>
        </w:tc>
        <w:tc>
          <w:tcPr>
            <w:tcW w:w="1422" w:type="dxa"/>
            <w:shd w:val="clear" w:color="auto" w:fill="DEEAF6" w:themeFill="accent1" w:themeFillTint="33"/>
          </w:tcPr>
          <w:p w14:paraId="31DC67F1" w14:textId="77777777" w:rsidR="0029118A" w:rsidRDefault="0029118A"/>
        </w:tc>
        <w:tc>
          <w:tcPr>
            <w:tcW w:w="1078" w:type="dxa"/>
            <w:shd w:val="clear" w:color="auto" w:fill="DEEAF6" w:themeFill="accent1" w:themeFillTint="33"/>
          </w:tcPr>
          <w:p w14:paraId="6F8C51E7" w14:textId="77777777" w:rsidR="0029118A" w:rsidRDefault="009231FE">
            <w:r>
              <w:t>5.</w:t>
            </w:r>
          </w:p>
        </w:tc>
      </w:tr>
      <w:tr w:rsidR="0029118A" w14:paraId="1EC5DDB6" w14:textId="77777777" w:rsidTr="00E270CC">
        <w:tc>
          <w:tcPr>
            <w:tcW w:w="1838" w:type="dxa"/>
          </w:tcPr>
          <w:p w14:paraId="27CAA198" w14:textId="77777777" w:rsidR="0029118A" w:rsidRDefault="0029118A"/>
        </w:tc>
        <w:tc>
          <w:tcPr>
            <w:tcW w:w="2941" w:type="dxa"/>
          </w:tcPr>
          <w:p w14:paraId="23A61AC3" w14:textId="77777777" w:rsidR="0029118A" w:rsidRDefault="0029118A"/>
        </w:tc>
        <w:tc>
          <w:tcPr>
            <w:tcW w:w="1737" w:type="dxa"/>
          </w:tcPr>
          <w:p w14:paraId="365D7CD0" w14:textId="77777777" w:rsidR="0029118A" w:rsidRDefault="0029118A"/>
        </w:tc>
        <w:tc>
          <w:tcPr>
            <w:tcW w:w="1422" w:type="dxa"/>
            <w:shd w:val="clear" w:color="auto" w:fill="DEEAF6" w:themeFill="accent1" w:themeFillTint="33"/>
          </w:tcPr>
          <w:p w14:paraId="3B8A0676" w14:textId="77777777" w:rsidR="0029118A" w:rsidRDefault="0029118A"/>
        </w:tc>
        <w:tc>
          <w:tcPr>
            <w:tcW w:w="1078" w:type="dxa"/>
            <w:shd w:val="clear" w:color="auto" w:fill="DEEAF6" w:themeFill="accent1" w:themeFillTint="33"/>
          </w:tcPr>
          <w:p w14:paraId="3926C0F9" w14:textId="77777777" w:rsidR="0029118A" w:rsidRDefault="0029118A"/>
        </w:tc>
      </w:tr>
      <w:tr w:rsidR="0029118A" w14:paraId="7F628FB7" w14:textId="77777777" w:rsidTr="00E270CC">
        <w:tc>
          <w:tcPr>
            <w:tcW w:w="1838" w:type="dxa"/>
          </w:tcPr>
          <w:p w14:paraId="27D74D02" w14:textId="77777777" w:rsidR="0029118A" w:rsidRDefault="0029118A"/>
        </w:tc>
        <w:tc>
          <w:tcPr>
            <w:tcW w:w="2941" w:type="dxa"/>
          </w:tcPr>
          <w:p w14:paraId="09B220EB" w14:textId="77777777" w:rsidR="0029118A" w:rsidRDefault="0029118A"/>
        </w:tc>
        <w:tc>
          <w:tcPr>
            <w:tcW w:w="1737" w:type="dxa"/>
          </w:tcPr>
          <w:p w14:paraId="11A58D06" w14:textId="77777777" w:rsidR="0029118A" w:rsidRDefault="0029118A"/>
        </w:tc>
        <w:tc>
          <w:tcPr>
            <w:tcW w:w="1422" w:type="dxa"/>
            <w:shd w:val="clear" w:color="auto" w:fill="DEEAF6" w:themeFill="accent1" w:themeFillTint="33"/>
          </w:tcPr>
          <w:p w14:paraId="171FD4C2" w14:textId="77777777" w:rsidR="0029118A" w:rsidRDefault="0029118A"/>
        </w:tc>
        <w:tc>
          <w:tcPr>
            <w:tcW w:w="1078" w:type="dxa"/>
            <w:shd w:val="clear" w:color="auto" w:fill="DEEAF6" w:themeFill="accent1" w:themeFillTint="33"/>
          </w:tcPr>
          <w:p w14:paraId="3B31C515" w14:textId="77777777" w:rsidR="0029118A" w:rsidRDefault="0029118A"/>
        </w:tc>
      </w:tr>
    </w:tbl>
    <w:p w14:paraId="112E6A7C" w14:textId="77777777" w:rsidR="0029118A" w:rsidRDefault="0029118A"/>
    <w:sectPr w:rsidR="0029118A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7D88DF" w14:textId="77777777" w:rsidR="006706B9" w:rsidRDefault="006706B9" w:rsidP="0029118A">
      <w:pPr>
        <w:spacing w:after="0" w:line="240" w:lineRule="auto"/>
      </w:pPr>
      <w:r>
        <w:separator/>
      </w:r>
    </w:p>
  </w:endnote>
  <w:endnote w:type="continuationSeparator" w:id="0">
    <w:p w14:paraId="37204379" w14:textId="77777777" w:rsidR="006706B9" w:rsidRDefault="006706B9" w:rsidP="00291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144065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24C4A15" w14:textId="77777777" w:rsidR="00BC1D12" w:rsidRDefault="00BC1D12">
        <w:pPr>
          <w:pStyle w:val="Footer"/>
          <w:jc w:val="right"/>
        </w:pPr>
      </w:p>
      <w:p w14:paraId="1B09CD56" w14:textId="48602344" w:rsidR="00BC1D12" w:rsidRDefault="00BC1D12">
        <w:pPr>
          <w:pStyle w:val="Footer"/>
          <w:jc w:val="right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3024">
          <w:rPr>
            <w:noProof/>
          </w:rPr>
          <w:t>1</w:t>
        </w:r>
        <w:r>
          <w:rPr>
            <w:noProof/>
          </w:rPr>
          <w:fldChar w:fldCharType="end"/>
        </w:r>
      </w:p>
      <w:p w14:paraId="1487D4AC" w14:textId="77777777" w:rsidR="00BC1D12" w:rsidRDefault="00BC1D12">
        <w:pPr>
          <w:pStyle w:val="Footer"/>
          <w:jc w:val="right"/>
          <w:rPr>
            <w:noProof/>
          </w:rPr>
        </w:pPr>
      </w:p>
      <w:p w14:paraId="5DE2F5A8" w14:textId="77777777" w:rsidR="00BC1D12" w:rsidRPr="00D84CE4" w:rsidRDefault="00BC1D12" w:rsidP="00BC1D12">
        <w:pPr>
          <w:pStyle w:val="Footer"/>
          <w:jc w:val="right"/>
          <w:rPr>
            <w:noProof/>
            <w:color w:val="808080" w:themeColor="background1" w:themeShade="80"/>
            <w:sz w:val="20"/>
            <w:szCs w:val="20"/>
          </w:rPr>
        </w:pPr>
        <w:r w:rsidRPr="00D84CE4">
          <w:rPr>
            <w:noProof/>
            <w:color w:val="808080" w:themeColor="background1" w:themeShade="80"/>
            <w:sz w:val="20"/>
            <w:szCs w:val="20"/>
          </w:rPr>
          <w:t xml:space="preserve">© New South Wales Bar Association </w:t>
        </w:r>
      </w:p>
      <w:p w14:paraId="66F7283D" w14:textId="77777777" w:rsidR="00BC1D12" w:rsidRPr="00D84CE4" w:rsidRDefault="00BC1D12" w:rsidP="00BC1D12">
        <w:pPr>
          <w:pStyle w:val="Footer"/>
          <w:jc w:val="right"/>
          <w:rPr>
            <w:noProof/>
            <w:color w:val="808080" w:themeColor="background1" w:themeShade="80"/>
            <w:sz w:val="20"/>
            <w:szCs w:val="20"/>
          </w:rPr>
        </w:pPr>
        <w:r w:rsidRPr="00D84CE4">
          <w:rPr>
            <w:noProof/>
            <w:color w:val="808080" w:themeColor="background1" w:themeShade="80"/>
            <w:sz w:val="20"/>
            <w:szCs w:val="20"/>
          </w:rPr>
          <w:t>13 November 2018</w:t>
        </w:r>
      </w:p>
      <w:p w14:paraId="32CF8FD1" w14:textId="3FC253E3" w:rsidR="00BC1D12" w:rsidRDefault="00BC1D12" w:rsidP="00BC1D12">
        <w:pPr>
          <w:pStyle w:val="Footer"/>
          <w:jc w:val="right"/>
        </w:pPr>
        <w:r w:rsidRPr="00D84CE4">
          <w:rPr>
            <w:noProof/>
            <w:color w:val="808080" w:themeColor="background1" w:themeShade="80"/>
            <w:sz w:val="20"/>
            <w:szCs w:val="20"/>
          </w:rPr>
          <w:t>findabarrister.com</w:t>
        </w:r>
      </w:p>
      <w:p w14:paraId="22F92061" w14:textId="0DE4BBEB" w:rsidR="00BC1D12" w:rsidRDefault="006706B9">
        <w:pPr>
          <w:pStyle w:val="Footer"/>
          <w:jc w:val="right"/>
        </w:pPr>
      </w:p>
    </w:sdtContent>
  </w:sdt>
  <w:p w14:paraId="529699BE" w14:textId="77777777" w:rsidR="00BC1D12" w:rsidRDefault="00BC1D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79BB37" w14:textId="77777777" w:rsidR="006706B9" w:rsidRDefault="006706B9" w:rsidP="0029118A">
      <w:pPr>
        <w:spacing w:after="0" w:line="240" w:lineRule="auto"/>
      </w:pPr>
      <w:r>
        <w:separator/>
      </w:r>
    </w:p>
  </w:footnote>
  <w:footnote w:type="continuationSeparator" w:id="0">
    <w:p w14:paraId="5E77863E" w14:textId="77777777" w:rsidR="006706B9" w:rsidRDefault="006706B9" w:rsidP="0029118A">
      <w:pPr>
        <w:spacing w:after="0" w:line="240" w:lineRule="auto"/>
      </w:pPr>
      <w:r>
        <w:continuationSeparator/>
      </w:r>
    </w:p>
  </w:footnote>
  <w:footnote w:id="1">
    <w:p w14:paraId="18CF25EE" w14:textId="77777777" w:rsidR="00622D73" w:rsidRDefault="00622D73">
      <w:pPr>
        <w:pStyle w:val="FootnoteText"/>
      </w:pPr>
      <w:r>
        <w:rPr>
          <w:rStyle w:val="FootnoteReference"/>
        </w:rPr>
        <w:footnoteRef/>
      </w:r>
      <w:r>
        <w:t xml:space="preserve"> Date that an event took place.</w:t>
      </w:r>
    </w:p>
  </w:footnote>
  <w:footnote w:id="2">
    <w:p w14:paraId="5DEEE4E4" w14:textId="77777777" w:rsidR="00622D73" w:rsidRDefault="00622D73">
      <w:pPr>
        <w:pStyle w:val="FootnoteText"/>
      </w:pPr>
      <w:r>
        <w:rPr>
          <w:rStyle w:val="FootnoteReference"/>
        </w:rPr>
        <w:footnoteRef/>
      </w:r>
      <w:r>
        <w:t xml:space="preserve"> Describe the event: What took place, where it took place, who was involved. If referring to a corporate entity - use the full legal entity name, ABN, ACN if available. If referring to people - include full name and date of birth. If referring to a place – include the full address, state and country (if relevant).</w:t>
      </w:r>
    </w:p>
  </w:footnote>
  <w:footnote w:id="3">
    <w:p w14:paraId="30CFD8F8" w14:textId="77777777" w:rsidR="00622D73" w:rsidRDefault="00622D73">
      <w:pPr>
        <w:pStyle w:val="FootnoteText"/>
      </w:pPr>
      <w:r>
        <w:rPr>
          <w:rStyle w:val="FootnoteReference"/>
        </w:rPr>
        <w:footnoteRef/>
      </w:r>
      <w:r>
        <w:t xml:space="preserve"> If </w:t>
      </w:r>
      <w:proofErr w:type="gramStart"/>
      <w:r>
        <w:t>possible</w:t>
      </w:r>
      <w:proofErr w:type="gramEnd"/>
      <w:r>
        <w:t xml:space="preserve"> identify the document from the brief that supports or proves the factual assertion in the chronology. If the factual allegation is taken from a pleading (statement of claim or defence etc), include the paragraph number from the pleading </w:t>
      </w:r>
      <w:proofErr w:type="spellStart"/>
      <w:r>
        <w:t>eg.</w:t>
      </w:r>
      <w:proofErr w:type="spellEnd"/>
      <w:r>
        <w:t xml:space="preserve"> Statement of Claim paragraph 10 can be summarised as SOC [10].  If the allegation is made in a statement or affidavit, refer to the paragraph number of the affidavit. </w:t>
      </w:r>
      <w:proofErr w:type="spellStart"/>
      <w:r>
        <w:t>Eg</w:t>
      </w:r>
      <w:proofErr w:type="spellEnd"/>
      <w:r>
        <w:t xml:space="preserve"> Affidavit of Jessie Smith dated 12 October 2018 at paragraph 20, can be summarised as </w:t>
      </w:r>
      <w:proofErr w:type="spellStart"/>
      <w:r>
        <w:t>Aff</w:t>
      </w:r>
      <w:proofErr w:type="spellEnd"/>
      <w:r>
        <w:t xml:space="preserve"> Smith 12.10.18 [20].</w:t>
      </w:r>
    </w:p>
  </w:footnote>
  <w:footnote w:id="4">
    <w:p w14:paraId="30C36947" w14:textId="77777777" w:rsidR="00622D73" w:rsidRDefault="00622D73">
      <w:pPr>
        <w:pStyle w:val="FootnoteText"/>
      </w:pPr>
      <w:r>
        <w:rPr>
          <w:rStyle w:val="FootnoteReference"/>
        </w:rPr>
        <w:footnoteRef/>
      </w:r>
      <w:r>
        <w:t xml:space="preserve"> This column is optional, but can be useful for including a comment on the factual contention or drawing counsel’s attention to an alternative theory or evidence. </w:t>
      </w:r>
    </w:p>
  </w:footnote>
  <w:footnote w:id="5">
    <w:p w14:paraId="53AA91B3" w14:textId="77777777" w:rsidR="00622D73" w:rsidRDefault="00622D73">
      <w:pPr>
        <w:pStyle w:val="FootnoteText"/>
      </w:pPr>
      <w:r>
        <w:rPr>
          <w:rStyle w:val="FootnoteReference"/>
        </w:rPr>
        <w:footnoteRef/>
      </w:r>
      <w:r>
        <w:t xml:space="preserve"> This is optional, but it can be efficient to refer to the page in the brief where the document appears.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743D1" w14:textId="4D8EF2F3" w:rsidR="00A53024" w:rsidRDefault="006706B9">
    <w:pPr>
      <w:pStyle w:val="Header"/>
    </w:pPr>
    <w:r>
      <w:rPr>
        <w:noProof/>
      </w:rPr>
      <w:pict w14:anchorId="000B363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553591" o:spid="_x0000_s2051" type="#_x0000_t136" alt="" style="position:absolute;margin-left:0;margin-top:0;width:565.6pt;height:70.7pt;rotation:315;z-index:-25165107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findabarrister.com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47E9D" w14:textId="636DFA2A" w:rsidR="00E17793" w:rsidRDefault="006706B9">
    <w:pPr>
      <w:pStyle w:val="Header"/>
    </w:pPr>
    <w:r>
      <w:rPr>
        <w:noProof/>
      </w:rPr>
      <w:pict w14:anchorId="0D22FE1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553592" o:spid="_x0000_s2050" type="#_x0000_t136" alt="" style="position:absolute;margin-left:0;margin-top:0;width:565.6pt;height:70.7pt;rotation:315;z-index:-25164697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findabarrister.com"/>
        </v:shape>
      </w:pict>
    </w:r>
    <w:r w:rsidR="00E17793">
      <w:rPr>
        <w:noProof/>
        <w:lang w:eastAsia="en-AU"/>
      </w:rPr>
      <w:drawing>
        <wp:inline distT="0" distB="0" distL="0" distR="0" wp14:anchorId="38929A73" wp14:editId="6B3BEF43">
          <wp:extent cx="2743200" cy="921188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 NSW Bar Association_horizontal lockup_PMS_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3200" cy="9211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29FDF6" w14:textId="77777777" w:rsidR="00E17793" w:rsidRDefault="00E17793">
    <w:pPr>
      <w:pStyle w:val="Header"/>
    </w:pPr>
  </w:p>
  <w:p w14:paraId="40AB3566" w14:textId="77777777" w:rsidR="00622D73" w:rsidRDefault="00622D7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99EE2" w14:textId="37EFC136" w:rsidR="00A53024" w:rsidRDefault="006706B9">
    <w:pPr>
      <w:pStyle w:val="Header"/>
    </w:pPr>
    <w:r>
      <w:rPr>
        <w:noProof/>
      </w:rPr>
      <w:pict w14:anchorId="03D4085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553590" o:spid="_x0000_s2049" type="#_x0000_t136" alt="" style="position:absolute;margin-left:0;margin-top:0;width:565.6pt;height:70.7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findabarrister.com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18A"/>
    <w:rsid w:val="0002768F"/>
    <w:rsid w:val="000D2B52"/>
    <w:rsid w:val="000D4323"/>
    <w:rsid w:val="0029118A"/>
    <w:rsid w:val="002D670A"/>
    <w:rsid w:val="003E1CAF"/>
    <w:rsid w:val="005E02E4"/>
    <w:rsid w:val="00622D73"/>
    <w:rsid w:val="006706B9"/>
    <w:rsid w:val="007007B3"/>
    <w:rsid w:val="007861BA"/>
    <w:rsid w:val="00867416"/>
    <w:rsid w:val="00896809"/>
    <w:rsid w:val="009231FE"/>
    <w:rsid w:val="009315B7"/>
    <w:rsid w:val="0099163E"/>
    <w:rsid w:val="0099253E"/>
    <w:rsid w:val="009E6F38"/>
    <w:rsid w:val="00A53024"/>
    <w:rsid w:val="00AE0545"/>
    <w:rsid w:val="00B31FA3"/>
    <w:rsid w:val="00BC1D12"/>
    <w:rsid w:val="00C07E82"/>
    <w:rsid w:val="00E03866"/>
    <w:rsid w:val="00E17793"/>
    <w:rsid w:val="00E270CC"/>
    <w:rsid w:val="00E65C0B"/>
    <w:rsid w:val="00ED7DFF"/>
    <w:rsid w:val="00F0288D"/>
    <w:rsid w:val="00FC3A82"/>
    <w:rsid w:val="00FD2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1B82AF1"/>
  <w15:docId w15:val="{B388C674-FBF3-4077-A19F-A7F0198AD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91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911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911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9118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D2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2B52"/>
  </w:style>
  <w:style w:type="paragraph" w:styleId="Footer">
    <w:name w:val="footer"/>
    <w:basedOn w:val="Normal"/>
    <w:link w:val="FooterChar"/>
    <w:uiPriority w:val="99"/>
    <w:unhideWhenUsed/>
    <w:rsid w:val="000D2B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2B52"/>
  </w:style>
  <w:style w:type="character" w:styleId="CommentReference">
    <w:name w:val="annotation reference"/>
    <w:basedOn w:val="DefaultParagraphFont"/>
    <w:uiPriority w:val="99"/>
    <w:semiHidden/>
    <w:unhideWhenUsed/>
    <w:rsid w:val="009E6F3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6F3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6F38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6F3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F3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D36AF-8A52-6248-8657-43F862FC3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O'Halloran</dc:creator>
  <cp:keywords/>
  <dc:description/>
  <cp:lastModifiedBy>Elizabeth Cheeseman</cp:lastModifiedBy>
  <cp:revision>2</cp:revision>
  <cp:lastPrinted>2018-12-04T05:06:00Z</cp:lastPrinted>
  <dcterms:created xsi:type="dcterms:W3CDTF">2018-12-04T05:10:00Z</dcterms:created>
  <dcterms:modified xsi:type="dcterms:W3CDTF">2018-12-04T05:10:00Z</dcterms:modified>
</cp:coreProperties>
</file>